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EC8" w:rsidRDefault="00EB767A">
      <w:pPr>
        <w:spacing w:after="158" w:line="259" w:lineRule="auto"/>
        <w:ind w:left="0" w:right="2" w:firstLine="0"/>
        <w:jc w:val="center"/>
      </w:pPr>
      <w:r>
        <w:rPr>
          <w:b/>
          <w:color w:val="0070C0"/>
        </w:rPr>
        <w:t>Annexure F: Commercial Bid Format</w:t>
      </w:r>
    </w:p>
    <w:p w:rsidR="00BD4EC8" w:rsidRDefault="00EB767A">
      <w:pPr>
        <w:spacing w:after="88"/>
        <w:ind w:left="-5"/>
      </w:pPr>
      <w:r>
        <w:t xml:space="preserve">The Commercial Bid shall be submitted in the following format. May kindly note that the Five- year Cost of the Project shall be on OPEX MODEL and Payable in Quarterly Rests: </w:t>
      </w:r>
    </w:p>
    <w:p w:rsidR="00BD4EC8" w:rsidRDefault="00EB767A">
      <w:pPr>
        <w:pStyle w:val="Heading1"/>
      </w:pPr>
      <w:r>
        <w:t>Table I Cost for SDWAN solution, Network switches including NOC support</w:t>
      </w:r>
    </w:p>
    <w:tbl>
      <w:tblPr>
        <w:tblStyle w:val="TableGrid"/>
        <w:tblW w:w="9014" w:type="dxa"/>
        <w:tblInd w:w="6" w:type="dxa"/>
        <w:tblCellMar>
          <w:top w:w="48" w:type="dxa"/>
          <w:left w:w="107" w:type="dxa"/>
          <w:bottom w:w="0" w:type="dxa"/>
          <w:right w:w="41" w:type="dxa"/>
        </w:tblCellMar>
        <w:tblLook w:val="04A0" w:firstRow="1" w:lastRow="0" w:firstColumn="1" w:lastColumn="0" w:noHBand="0" w:noVBand="1"/>
      </w:tblPr>
      <w:tblGrid>
        <w:gridCol w:w="636"/>
        <w:gridCol w:w="3722"/>
        <w:gridCol w:w="1107"/>
        <w:gridCol w:w="1663"/>
        <w:gridCol w:w="1886"/>
      </w:tblGrid>
      <w:tr w:rsidR="00BD4EC8">
        <w:trPr>
          <w:trHeight w:val="1541"/>
        </w:trPr>
        <w:tc>
          <w:tcPr>
            <w:tcW w:w="636" w:type="dxa"/>
            <w:tcBorders>
              <w:top w:val="single" w:sz="4" w:space="0" w:color="000000"/>
              <w:left w:val="single" w:sz="4" w:space="0" w:color="000000"/>
              <w:bottom w:val="single" w:sz="4" w:space="0" w:color="000000"/>
              <w:right w:val="single" w:sz="4" w:space="0" w:color="000000"/>
            </w:tcBorders>
            <w:shd w:val="clear" w:color="auto" w:fill="FEF2CC"/>
            <w:vAlign w:val="center"/>
          </w:tcPr>
          <w:p w:rsidR="00BD4EC8" w:rsidRDefault="00EB767A">
            <w:pPr>
              <w:spacing w:after="0" w:line="259" w:lineRule="auto"/>
              <w:ind w:left="0" w:firstLine="0"/>
              <w:jc w:val="left"/>
            </w:pPr>
            <w:r>
              <w:rPr>
                <w:b/>
              </w:rPr>
              <w:t>S.N.</w:t>
            </w:r>
          </w:p>
        </w:tc>
        <w:tc>
          <w:tcPr>
            <w:tcW w:w="3722" w:type="dxa"/>
            <w:tcBorders>
              <w:top w:val="single" w:sz="4" w:space="0" w:color="000000"/>
              <w:left w:val="single" w:sz="4" w:space="0" w:color="000000"/>
              <w:bottom w:val="single" w:sz="4" w:space="0" w:color="000000"/>
              <w:right w:val="single" w:sz="4" w:space="0" w:color="000000"/>
            </w:tcBorders>
            <w:shd w:val="clear" w:color="auto" w:fill="FEF2CC"/>
            <w:vAlign w:val="center"/>
          </w:tcPr>
          <w:p w:rsidR="00BD4EC8" w:rsidRDefault="00EB767A">
            <w:pPr>
              <w:spacing w:after="0" w:line="259" w:lineRule="auto"/>
              <w:ind w:left="1" w:firstLine="0"/>
              <w:jc w:val="left"/>
            </w:pPr>
            <w:r>
              <w:rPr>
                <w:b/>
              </w:rPr>
              <w:t xml:space="preserve">Device Type </w:t>
            </w:r>
          </w:p>
        </w:tc>
        <w:tc>
          <w:tcPr>
            <w:tcW w:w="1107" w:type="dxa"/>
            <w:tcBorders>
              <w:top w:val="single" w:sz="4" w:space="0" w:color="000000"/>
              <w:left w:val="single" w:sz="4" w:space="0" w:color="000000"/>
              <w:bottom w:val="single" w:sz="4" w:space="0" w:color="000000"/>
              <w:right w:val="single" w:sz="4" w:space="0" w:color="000000"/>
            </w:tcBorders>
            <w:shd w:val="clear" w:color="auto" w:fill="FEF2CC"/>
            <w:vAlign w:val="center"/>
          </w:tcPr>
          <w:p w:rsidR="00BD4EC8" w:rsidRDefault="00EB767A">
            <w:pPr>
              <w:spacing w:after="0" w:line="259" w:lineRule="auto"/>
              <w:ind w:left="1" w:firstLine="0"/>
            </w:pPr>
            <w:r>
              <w:rPr>
                <w:b/>
              </w:rPr>
              <w:t>Quantity</w:t>
            </w:r>
          </w:p>
        </w:tc>
        <w:tc>
          <w:tcPr>
            <w:tcW w:w="1663" w:type="dxa"/>
            <w:tcBorders>
              <w:top w:val="single" w:sz="4" w:space="0" w:color="000000"/>
              <w:left w:val="single" w:sz="4" w:space="0" w:color="000000"/>
              <w:bottom w:val="single" w:sz="4" w:space="0" w:color="000000"/>
              <w:right w:val="single" w:sz="4" w:space="0" w:color="000000"/>
            </w:tcBorders>
            <w:shd w:val="clear" w:color="auto" w:fill="FEF2CC"/>
          </w:tcPr>
          <w:p w:rsidR="00BD4EC8" w:rsidRDefault="00EB767A">
            <w:pPr>
              <w:spacing w:after="0" w:line="259" w:lineRule="auto"/>
              <w:ind w:left="1" w:firstLine="0"/>
              <w:jc w:val="left"/>
            </w:pPr>
            <w:r>
              <w:rPr>
                <w:b/>
              </w:rPr>
              <w:t xml:space="preserve">Unit Rate </w:t>
            </w:r>
          </w:p>
          <w:p w:rsidR="00BD4EC8" w:rsidRDefault="00EB767A">
            <w:pPr>
              <w:spacing w:after="0" w:line="238" w:lineRule="auto"/>
              <w:ind w:left="1" w:right="67" w:firstLine="0"/>
            </w:pPr>
            <w:r>
              <w:t xml:space="preserve">(Bidder to input </w:t>
            </w:r>
            <w:r>
              <w:rPr>
                <w:b/>
              </w:rPr>
              <w:t xml:space="preserve">Rental Cost per unit per quarter in </w:t>
            </w:r>
          </w:p>
          <w:p w:rsidR="00BD4EC8" w:rsidRDefault="00EB767A">
            <w:pPr>
              <w:spacing w:after="0" w:line="259" w:lineRule="auto"/>
              <w:ind w:left="1" w:firstLine="0"/>
              <w:jc w:val="left"/>
            </w:pPr>
            <w:r>
              <w:rPr>
                <w:b/>
              </w:rPr>
              <w:t>INR)</w:t>
            </w:r>
          </w:p>
        </w:tc>
        <w:tc>
          <w:tcPr>
            <w:tcW w:w="1886" w:type="dxa"/>
            <w:tcBorders>
              <w:top w:val="single" w:sz="4" w:space="0" w:color="000000"/>
              <w:left w:val="single" w:sz="4" w:space="0" w:color="000000"/>
              <w:bottom w:val="single" w:sz="4" w:space="0" w:color="000000"/>
              <w:right w:val="single" w:sz="4" w:space="0" w:color="000000"/>
            </w:tcBorders>
            <w:shd w:val="clear" w:color="auto" w:fill="FEF2CC"/>
            <w:vAlign w:val="center"/>
          </w:tcPr>
          <w:p w:rsidR="00BD4EC8" w:rsidRDefault="00EB767A">
            <w:pPr>
              <w:spacing w:after="0" w:line="259" w:lineRule="auto"/>
              <w:ind w:left="1" w:firstLine="0"/>
            </w:pPr>
            <w:r>
              <w:rPr>
                <w:b/>
              </w:rPr>
              <w:t>Total Cost for 5 years (in INR)</w:t>
            </w:r>
          </w:p>
        </w:tc>
      </w:tr>
      <w:tr w:rsidR="00BD4EC8">
        <w:trPr>
          <w:trHeight w:val="608"/>
        </w:trPr>
        <w:tc>
          <w:tcPr>
            <w:tcW w:w="9014" w:type="dxa"/>
            <w:gridSpan w:val="5"/>
            <w:tcBorders>
              <w:top w:val="single" w:sz="4" w:space="0" w:color="000000"/>
              <w:left w:val="single" w:sz="4" w:space="0" w:color="000000"/>
              <w:bottom w:val="single" w:sz="4" w:space="0" w:color="000000"/>
              <w:right w:val="single" w:sz="4" w:space="0" w:color="000000"/>
            </w:tcBorders>
            <w:shd w:val="clear" w:color="auto" w:fill="FEF2CC"/>
          </w:tcPr>
          <w:p w:rsidR="00BD4EC8" w:rsidRDefault="00EB767A">
            <w:pPr>
              <w:spacing w:after="0" w:line="259" w:lineRule="auto"/>
              <w:ind w:left="0" w:firstLine="0"/>
            </w:pPr>
            <w:r>
              <w:rPr>
                <w:b/>
              </w:rPr>
              <w:t>SDWAN Devices and switches (Hardware + Software + Licenses +Implementation +Acceptance Testing &amp; Support)</w:t>
            </w:r>
          </w:p>
        </w:tc>
      </w:tr>
      <w:tr w:rsidR="00BD4EC8">
        <w:trPr>
          <w:trHeight w:val="1799"/>
        </w:trPr>
        <w:tc>
          <w:tcPr>
            <w:tcW w:w="636"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0" w:firstLine="0"/>
              <w:jc w:val="left"/>
            </w:pPr>
            <w:r>
              <w:t>1</w:t>
            </w:r>
          </w:p>
        </w:tc>
        <w:tc>
          <w:tcPr>
            <w:tcW w:w="3722" w:type="dxa"/>
            <w:tcBorders>
              <w:top w:val="single" w:sz="4" w:space="0" w:color="000000"/>
              <w:left w:val="single" w:sz="4" w:space="0" w:color="000000"/>
              <w:bottom w:val="single" w:sz="4" w:space="0" w:color="000000"/>
              <w:right w:val="single" w:sz="4" w:space="0" w:color="000000"/>
            </w:tcBorders>
          </w:tcPr>
          <w:p w:rsidR="00BD4EC8" w:rsidRDefault="00EB767A">
            <w:pPr>
              <w:spacing w:after="0" w:line="259" w:lineRule="auto"/>
              <w:ind w:left="1" w:firstLine="0"/>
            </w:pPr>
            <w:r>
              <w:t xml:space="preserve">HEADEND / CENTRAL DEVICES / </w:t>
            </w:r>
          </w:p>
          <w:p w:rsidR="00BD4EC8" w:rsidRDefault="00EB767A">
            <w:pPr>
              <w:spacing w:after="0" w:line="259" w:lineRule="auto"/>
              <w:ind w:left="1" w:firstLine="0"/>
              <w:jc w:val="left"/>
            </w:pPr>
            <w:r>
              <w:t xml:space="preserve">SOLUTION </w:t>
            </w:r>
          </w:p>
          <w:p w:rsidR="00BD4EC8" w:rsidRDefault="00EB767A">
            <w:pPr>
              <w:spacing w:after="0" w:line="259" w:lineRule="auto"/>
              <w:ind w:left="1" w:firstLine="0"/>
              <w:jc w:val="left"/>
            </w:pPr>
            <w:r>
              <w:t xml:space="preserve">10 </w:t>
            </w:r>
            <w:proofErr w:type="spellStart"/>
            <w:r>
              <w:t>Gbps</w:t>
            </w:r>
            <w:proofErr w:type="spellEnd"/>
            <w:r>
              <w:t xml:space="preserve"> from Day 1, scalable up to </w:t>
            </w:r>
          </w:p>
          <w:p w:rsidR="00BD4EC8" w:rsidRDefault="00EB767A">
            <w:pPr>
              <w:spacing w:after="0" w:line="259" w:lineRule="auto"/>
              <w:ind w:left="1" w:firstLine="0"/>
              <w:jc w:val="left"/>
            </w:pPr>
            <w:r>
              <w:t xml:space="preserve">20 </w:t>
            </w:r>
            <w:proofErr w:type="spellStart"/>
            <w:r>
              <w:t>Gbps</w:t>
            </w:r>
            <w:proofErr w:type="spellEnd"/>
            <w:r>
              <w:t xml:space="preserve"> </w:t>
            </w:r>
          </w:p>
          <w:p w:rsidR="00BD4EC8" w:rsidRDefault="00EB767A">
            <w:pPr>
              <w:spacing w:after="0" w:line="259" w:lineRule="auto"/>
              <w:ind w:left="1" w:firstLine="0"/>
              <w:jc w:val="left"/>
            </w:pPr>
            <w:r>
              <w:t>(All components / solutions as applicable at Central Sites Viz. DC and DR In HA Mode)</w:t>
            </w:r>
          </w:p>
        </w:tc>
        <w:tc>
          <w:tcPr>
            <w:tcW w:w="1107"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4</w:t>
            </w:r>
          </w:p>
        </w:tc>
        <w:tc>
          <w:tcPr>
            <w:tcW w:w="1663" w:type="dxa"/>
            <w:tcBorders>
              <w:top w:val="single" w:sz="4" w:space="0" w:color="000000"/>
              <w:left w:val="single" w:sz="4" w:space="0" w:color="000000"/>
              <w:bottom w:val="single" w:sz="4" w:space="0" w:color="000000"/>
              <w:right w:val="single" w:sz="4" w:space="0" w:color="000000"/>
            </w:tcBorders>
          </w:tcPr>
          <w:p w:rsidR="00BD4EC8" w:rsidRDefault="00BD4EC8">
            <w:pPr>
              <w:spacing w:after="160" w:line="259" w:lineRule="auto"/>
              <w:ind w:left="0" w:firstLine="0"/>
              <w:jc w:val="left"/>
            </w:pPr>
          </w:p>
        </w:tc>
        <w:tc>
          <w:tcPr>
            <w:tcW w:w="1886"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 xml:space="preserve">Quantity x Unit </w:t>
            </w:r>
          </w:p>
          <w:p w:rsidR="00BD4EC8" w:rsidRDefault="00EB767A">
            <w:pPr>
              <w:tabs>
                <w:tab w:val="center" w:pos="947"/>
                <w:tab w:val="right" w:pos="1738"/>
              </w:tabs>
              <w:spacing w:after="0" w:line="259" w:lineRule="auto"/>
              <w:ind w:left="0" w:firstLine="0"/>
              <w:jc w:val="left"/>
            </w:pPr>
            <w:r>
              <w:t xml:space="preserve">Rate </w:t>
            </w:r>
            <w:r>
              <w:tab/>
              <w:t xml:space="preserve">x </w:t>
            </w:r>
            <w:r>
              <w:tab/>
              <w:t xml:space="preserve">20 </w:t>
            </w:r>
          </w:p>
          <w:p w:rsidR="00BD4EC8" w:rsidRDefault="00EB767A">
            <w:pPr>
              <w:spacing w:after="0" w:line="259" w:lineRule="auto"/>
              <w:ind w:left="1" w:right="761" w:firstLine="0"/>
              <w:jc w:val="left"/>
            </w:pPr>
            <w:r>
              <w:t xml:space="preserve">quarters </w:t>
            </w:r>
            <w:r>
              <w:rPr>
                <w:b/>
              </w:rPr>
              <w:t>= Value A</w:t>
            </w:r>
          </w:p>
        </w:tc>
      </w:tr>
      <w:tr w:rsidR="00BD4EC8">
        <w:trPr>
          <w:trHeight w:val="1032"/>
        </w:trPr>
        <w:tc>
          <w:tcPr>
            <w:tcW w:w="636"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0" w:firstLine="0"/>
              <w:jc w:val="left"/>
            </w:pPr>
            <w:r>
              <w:t>2</w:t>
            </w:r>
          </w:p>
        </w:tc>
        <w:tc>
          <w:tcPr>
            <w:tcW w:w="3722"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 xml:space="preserve">Type A - 50 Mbps Throughput </w:t>
            </w:r>
          </w:p>
        </w:tc>
        <w:tc>
          <w:tcPr>
            <w:tcW w:w="1107"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1623</w:t>
            </w:r>
          </w:p>
        </w:tc>
        <w:tc>
          <w:tcPr>
            <w:tcW w:w="1663" w:type="dxa"/>
            <w:tcBorders>
              <w:top w:val="single" w:sz="4" w:space="0" w:color="000000"/>
              <w:left w:val="single" w:sz="4" w:space="0" w:color="000000"/>
              <w:bottom w:val="single" w:sz="4" w:space="0" w:color="000000"/>
              <w:right w:val="single" w:sz="4" w:space="0" w:color="000000"/>
            </w:tcBorders>
          </w:tcPr>
          <w:p w:rsidR="00BD4EC8" w:rsidRDefault="00BD4EC8">
            <w:pPr>
              <w:spacing w:after="160" w:line="259" w:lineRule="auto"/>
              <w:ind w:left="0" w:firstLine="0"/>
              <w:jc w:val="left"/>
            </w:pPr>
          </w:p>
        </w:tc>
        <w:tc>
          <w:tcPr>
            <w:tcW w:w="1886" w:type="dxa"/>
            <w:tcBorders>
              <w:top w:val="single" w:sz="4" w:space="0" w:color="000000"/>
              <w:left w:val="single" w:sz="4" w:space="0" w:color="000000"/>
              <w:bottom w:val="single" w:sz="4" w:space="0" w:color="000000"/>
              <w:right w:val="single" w:sz="4" w:space="0" w:color="000000"/>
            </w:tcBorders>
          </w:tcPr>
          <w:p w:rsidR="00BD4EC8" w:rsidRDefault="00EB767A">
            <w:pPr>
              <w:spacing w:after="0" w:line="259" w:lineRule="auto"/>
              <w:ind w:left="1" w:firstLine="0"/>
              <w:jc w:val="left"/>
            </w:pPr>
            <w:r>
              <w:t xml:space="preserve">Quantity x Unit </w:t>
            </w:r>
          </w:p>
          <w:p w:rsidR="00BD4EC8" w:rsidRDefault="00EB767A">
            <w:pPr>
              <w:tabs>
                <w:tab w:val="center" w:pos="947"/>
                <w:tab w:val="right" w:pos="1738"/>
              </w:tabs>
              <w:spacing w:after="0" w:line="259" w:lineRule="auto"/>
              <w:ind w:left="0" w:firstLine="0"/>
              <w:jc w:val="left"/>
            </w:pPr>
            <w:r>
              <w:t xml:space="preserve">Rate </w:t>
            </w:r>
            <w:r>
              <w:tab/>
              <w:t xml:space="preserve">x </w:t>
            </w:r>
            <w:r>
              <w:tab/>
              <w:t xml:space="preserve">20 </w:t>
            </w:r>
          </w:p>
          <w:p w:rsidR="00BD4EC8" w:rsidRDefault="00EB767A">
            <w:pPr>
              <w:spacing w:after="0" w:line="259" w:lineRule="auto"/>
              <w:ind w:left="1" w:right="770" w:firstLine="0"/>
              <w:jc w:val="left"/>
            </w:pPr>
            <w:r>
              <w:t xml:space="preserve">quarters </w:t>
            </w:r>
            <w:r>
              <w:rPr>
                <w:b/>
              </w:rPr>
              <w:t>= Value B</w:t>
            </w:r>
          </w:p>
        </w:tc>
      </w:tr>
      <w:tr w:rsidR="00BD4EC8">
        <w:trPr>
          <w:trHeight w:val="1032"/>
        </w:trPr>
        <w:tc>
          <w:tcPr>
            <w:tcW w:w="636"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0" w:firstLine="0"/>
              <w:jc w:val="left"/>
            </w:pPr>
            <w:r>
              <w:t>3</w:t>
            </w:r>
          </w:p>
        </w:tc>
        <w:tc>
          <w:tcPr>
            <w:tcW w:w="3722"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pPr>
            <w:r>
              <w:t xml:space="preserve">Type B - 50 Mbps Throughput from Day 1, scalable up to 150 Mbps  </w:t>
            </w:r>
          </w:p>
        </w:tc>
        <w:tc>
          <w:tcPr>
            <w:tcW w:w="1107"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134</w:t>
            </w:r>
          </w:p>
        </w:tc>
        <w:tc>
          <w:tcPr>
            <w:tcW w:w="1663" w:type="dxa"/>
            <w:tcBorders>
              <w:top w:val="single" w:sz="4" w:space="0" w:color="000000"/>
              <w:left w:val="single" w:sz="4" w:space="0" w:color="000000"/>
              <w:bottom w:val="single" w:sz="4" w:space="0" w:color="000000"/>
              <w:right w:val="single" w:sz="4" w:space="0" w:color="000000"/>
            </w:tcBorders>
          </w:tcPr>
          <w:p w:rsidR="00BD4EC8" w:rsidRDefault="00BD4EC8">
            <w:pPr>
              <w:spacing w:after="160" w:line="259" w:lineRule="auto"/>
              <w:ind w:left="0" w:firstLine="0"/>
              <w:jc w:val="left"/>
            </w:pPr>
          </w:p>
        </w:tc>
        <w:tc>
          <w:tcPr>
            <w:tcW w:w="1886" w:type="dxa"/>
            <w:tcBorders>
              <w:top w:val="single" w:sz="4" w:space="0" w:color="000000"/>
              <w:left w:val="single" w:sz="4" w:space="0" w:color="000000"/>
              <w:bottom w:val="single" w:sz="4" w:space="0" w:color="000000"/>
              <w:right w:val="single" w:sz="4" w:space="0" w:color="000000"/>
            </w:tcBorders>
          </w:tcPr>
          <w:p w:rsidR="00BD4EC8" w:rsidRDefault="00EB767A">
            <w:pPr>
              <w:spacing w:after="0" w:line="259" w:lineRule="auto"/>
              <w:ind w:left="1" w:firstLine="0"/>
              <w:jc w:val="left"/>
            </w:pPr>
            <w:r>
              <w:t xml:space="preserve">Quantity x Unit </w:t>
            </w:r>
          </w:p>
          <w:p w:rsidR="00BD4EC8" w:rsidRDefault="00EB767A">
            <w:pPr>
              <w:tabs>
                <w:tab w:val="center" w:pos="947"/>
                <w:tab w:val="right" w:pos="1738"/>
              </w:tabs>
              <w:spacing w:after="0" w:line="259" w:lineRule="auto"/>
              <w:ind w:left="0" w:firstLine="0"/>
              <w:jc w:val="left"/>
            </w:pPr>
            <w:r>
              <w:t xml:space="preserve">Rate </w:t>
            </w:r>
            <w:r>
              <w:tab/>
              <w:t xml:space="preserve">x </w:t>
            </w:r>
            <w:r>
              <w:tab/>
              <w:t xml:space="preserve">20 </w:t>
            </w:r>
          </w:p>
          <w:p w:rsidR="00BD4EC8" w:rsidRDefault="00EB767A">
            <w:pPr>
              <w:spacing w:after="0" w:line="259" w:lineRule="auto"/>
              <w:ind w:left="1" w:right="766" w:firstLine="0"/>
              <w:jc w:val="left"/>
            </w:pPr>
            <w:r>
              <w:t xml:space="preserve">quarters </w:t>
            </w:r>
            <w:r>
              <w:rPr>
                <w:b/>
              </w:rPr>
              <w:t>= Value C</w:t>
            </w:r>
          </w:p>
        </w:tc>
      </w:tr>
      <w:tr w:rsidR="00BD4EC8">
        <w:trPr>
          <w:trHeight w:val="1032"/>
        </w:trPr>
        <w:tc>
          <w:tcPr>
            <w:tcW w:w="636"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0" w:firstLine="0"/>
              <w:jc w:val="left"/>
            </w:pPr>
            <w:r>
              <w:t>4</w:t>
            </w:r>
          </w:p>
        </w:tc>
        <w:tc>
          <w:tcPr>
            <w:tcW w:w="3722"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 xml:space="preserve">Type C - 100 Mbps Throughput from Day 1, scalable up to 500 Mbps  </w:t>
            </w:r>
          </w:p>
        </w:tc>
        <w:tc>
          <w:tcPr>
            <w:tcW w:w="1107"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4</w:t>
            </w:r>
          </w:p>
        </w:tc>
        <w:tc>
          <w:tcPr>
            <w:tcW w:w="1663" w:type="dxa"/>
            <w:tcBorders>
              <w:top w:val="single" w:sz="4" w:space="0" w:color="000000"/>
              <w:left w:val="single" w:sz="4" w:space="0" w:color="000000"/>
              <w:bottom w:val="single" w:sz="4" w:space="0" w:color="000000"/>
              <w:right w:val="single" w:sz="4" w:space="0" w:color="000000"/>
            </w:tcBorders>
          </w:tcPr>
          <w:p w:rsidR="00BD4EC8" w:rsidRDefault="00BD4EC8">
            <w:pPr>
              <w:spacing w:after="160" w:line="259" w:lineRule="auto"/>
              <w:ind w:left="0" w:firstLine="0"/>
              <w:jc w:val="left"/>
            </w:pPr>
          </w:p>
        </w:tc>
        <w:tc>
          <w:tcPr>
            <w:tcW w:w="1886" w:type="dxa"/>
            <w:tcBorders>
              <w:top w:val="single" w:sz="4" w:space="0" w:color="000000"/>
              <w:left w:val="single" w:sz="4" w:space="0" w:color="000000"/>
              <w:bottom w:val="single" w:sz="4" w:space="0" w:color="000000"/>
              <w:right w:val="single" w:sz="4" w:space="0" w:color="000000"/>
            </w:tcBorders>
          </w:tcPr>
          <w:p w:rsidR="00BD4EC8" w:rsidRDefault="00EB767A">
            <w:pPr>
              <w:spacing w:after="0" w:line="259" w:lineRule="auto"/>
              <w:ind w:left="1" w:firstLine="0"/>
              <w:jc w:val="left"/>
            </w:pPr>
            <w:r>
              <w:t xml:space="preserve">Quantity x Unit </w:t>
            </w:r>
          </w:p>
          <w:p w:rsidR="00BD4EC8" w:rsidRDefault="00EB767A">
            <w:pPr>
              <w:tabs>
                <w:tab w:val="center" w:pos="947"/>
                <w:tab w:val="right" w:pos="1738"/>
              </w:tabs>
              <w:spacing w:after="0" w:line="259" w:lineRule="auto"/>
              <w:ind w:left="0" w:firstLine="0"/>
              <w:jc w:val="left"/>
            </w:pPr>
            <w:r>
              <w:t xml:space="preserve">Rate </w:t>
            </w:r>
            <w:r>
              <w:tab/>
              <w:t xml:space="preserve">x </w:t>
            </w:r>
            <w:r>
              <w:tab/>
              <w:t xml:space="preserve">20 </w:t>
            </w:r>
          </w:p>
          <w:p w:rsidR="00BD4EC8" w:rsidRDefault="00EB767A">
            <w:pPr>
              <w:spacing w:after="0" w:line="259" w:lineRule="auto"/>
              <w:ind w:left="1" w:right="759" w:firstLine="0"/>
              <w:jc w:val="left"/>
            </w:pPr>
            <w:r>
              <w:t xml:space="preserve">quarters </w:t>
            </w:r>
            <w:r>
              <w:rPr>
                <w:b/>
              </w:rPr>
              <w:t>= Value D</w:t>
            </w:r>
          </w:p>
        </w:tc>
      </w:tr>
      <w:tr w:rsidR="00BD4EC8">
        <w:trPr>
          <w:trHeight w:val="1032"/>
        </w:trPr>
        <w:tc>
          <w:tcPr>
            <w:tcW w:w="636"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0" w:firstLine="0"/>
              <w:jc w:val="left"/>
            </w:pPr>
            <w:r>
              <w:t>5</w:t>
            </w:r>
          </w:p>
        </w:tc>
        <w:tc>
          <w:tcPr>
            <w:tcW w:w="3722"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 xml:space="preserve">Type D - 200 Mbps Throughput from Day 1, scalable up to 500 Mbps  </w:t>
            </w:r>
          </w:p>
        </w:tc>
        <w:tc>
          <w:tcPr>
            <w:tcW w:w="1107"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4</w:t>
            </w:r>
          </w:p>
        </w:tc>
        <w:tc>
          <w:tcPr>
            <w:tcW w:w="1663" w:type="dxa"/>
            <w:tcBorders>
              <w:top w:val="single" w:sz="4" w:space="0" w:color="000000"/>
              <w:left w:val="single" w:sz="4" w:space="0" w:color="000000"/>
              <w:bottom w:val="single" w:sz="4" w:space="0" w:color="000000"/>
              <w:right w:val="single" w:sz="4" w:space="0" w:color="000000"/>
            </w:tcBorders>
          </w:tcPr>
          <w:p w:rsidR="00BD4EC8" w:rsidRDefault="00BD4EC8">
            <w:pPr>
              <w:spacing w:after="160" w:line="259" w:lineRule="auto"/>
              <w:ind w:left="0" w:firstLine="0"/>
              <w:jc w:val="left"/>
            </w:pPr>
          </w:p>
        </w:tc>
        <w:tc>
          <w:tcPr>
            <w:tcW w:w="1886" w:type="dxa"/>
            <w:tcBorders>
              <w:top w:val="single" w:sz="4" w:space="0" w:color="000000"/>
              <w:left w:val="single" w:sz="4" w:space="0" w:color="000000"/>
              <w:bottom w:val="single" w:sz="4" w:space="0" w:color="000000"/>
              <w:right w:val="single" w:sz="4" w:space="0" w:color="000000"/>
            </w:tcBorders>
          </w:tcPr>
          <w:p w:rsidR="00BD4EC8" w:rsidRDefault="00EB767A">
            <w:pPr>
              <w:spacing w:after="0" w:line="259" w:lineRule="auto"/>
              <w:ind w:left="1" w:firstLine="0"/>
              <w:jc w:val="left"/>
            </w:pPr>
            <w:r>
              <w:t xml:space="preserve">Quantity x Unit </w:t>
            </w:r>
          </w:p>
          <w:p w:rsidR="00BD4EC8" w:rsidRDefault="00EB767A">
            <w:pPr>
              <w:tabs>
                <w:tab w:val="center" w:pos="947"/>
                <w:tab w:val="right" w:pos="1738"/>
              </w:tabs>
              <w:spacing w:after="0" w:line="259" w:lineRule="auto"/>
              <w:ind w:left="0" w:firstLine="0"/>
              <w:jc w:val="left"/>
            </w:pPr>
            <w:r>
              <w:t xml:space="preserve">Rate </w:t>
            </w:r>
            <w:r>
              <w:tab/>
              <w:t xml:space="preserve">x </w:t>
            </w:r>
            <w:r>
              <w:tab/>
              <w:t xml:space="preserve">20 </w:t>
            </w:r>
          </w:p>
          <w:p w:rsidR="00BD4EC8" w:rsidRDefault="00EB767A">
            <w:pPr>
              <w:spacing w:after="0" w:line="259" w:lineRule="auto"/>
              <w:ind w:left="1" w:right="775" w:firstLine="0"/>
              <w:jc w:val="left"/>
            </w:pPr>
            <w:r>
              <w:t xml:space="preserve">quarters </w:t>
            </w:r>
            <w:r>
              <w:rPr>
                <w:b/>
              </w:rPr>
              <w:t>= Value E</w:t>
            </w:r>
          </w:p>
        </w:tc>
      </w:tr>
      <w:tr w:rsidR="00BD4EC8">
        <w:trPr>
          <w:trHeight w:val="1032"/>
        </w:trPr>
        <w:tc>
          <w:tcPr>
            <w:tcW w:w="636"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0" w:firstLine="0"/>
              <w:jc w:val="left"/>
            </w:pPr>
            <w:r>
              <w:t>6</w:t>
            </w:r>
          </w:p>
        </w:tc>
        <w:tc>
          <w:tcPr>
            <w:tcW w:w="3722"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pPr>
            <w:r>
              <w:t xml:space="preserve">Type E - 1 </w:t>
            </w:r>
            <w:proofErr w:type="spellStart"/>
            <w:r>
              <w:t>Gbps</w:t>
            </w:r>
            <w:proofErr w:type="spellEnd"/>
            <w:r>
              <w:t xml:space="preserve"> Throughput from Day 1, scalable up to 4 </w:t>
            </w:r>
            <w:proofErr w:type="spellStart"/>
            <w:r>
              <w:t>Gbps</w:t>
            </w:r>
            <w:proofErr w:type="spellEnd"/>
            <w:r>
              <w:t xml:space="preserve">  </w:t>
            </w:r>
          </w:p>
        </w:tc>
        <w:tc>
          <w:tcPr>
            <w:tcW w:w="1107"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5</w:t>
            </w:r>
          </w:p>
        </w:tc>
        <w:tc>
          <w:tcPr>
            <w:tcW w:w="1663" w:type="dxa"/>
            <w:tcBorders>
              <w:top w:val="single" w:sz="4" w:space="0" w:color="000000"/>
              <w:left w:val="single" w:sz="4" w:space="0" w:color="000000"/>
              <w:bottom w:val="single" w:sz="4" w:space="0" w:color="000000"/>
              <w:right w:val="single" w:sz="4" w:space="0" w:color="000000"/>
            </w:tcBorders>
          </w:tcPr>
          <w:p w:rsidR="00BD4EC8" w:rsidRDefault="00BD4EC8">
            <w:pPr>
              <w:spacing w:after="160" w:line="259" w:lineRule="auto"/>
              <w:ind w:left="0" w:firstLine="0"/>
              <w:jc w:val="left"/>
            </w:pPr>
          </w:p>
        </w:tc>
        <w:tc>
          <w:tcPr>
            <w:tcW w:w="1886" w:type="dxa"/>
            <w:tcBorders>
              <w:top w:val="single" w:sz="4" w:space="0" w:color="000000"/>
              <w:left w:val="single" w:sz="4" w:space="0" w:color="000000"/>
              <w:bottom w:val="single" w:sz="4" w:space="0" w:color="000000"/>
              <w:right w:val="single" w:sz="4" w:space="0" w:color="000000"/>
            </w:tcBorders>
          </w:tcPr>
          <w:p w:rsidR="00BD4EC8" w:rsidRDefault="00EB767A">
            <w:pPr>
              <w:spacing w:after="0" w:line="259" w:lineRule="auto"/>
              <w:ind w:left="1" w:firstLine="0"/>
              <w:jc w:val="left"/>
            </w:pPr>
            <w:r>
              <w:t xml:space="preserve">Quantity x Unit </w:t>
            </w:r>
          </w:p>
          <w:p w:rsidR="00BD4EC8" w:rsidRDefault="00EB767A">
            <w:pPr>
              <w:tabs>
                <w:tab w:val="center" w:pos="947"/>
                <w:tab w:val="right" w:pos="1738"/>
              </w:tabs>
              <w:spacing w:after="0" w:line="259" w:lineRule="auto"/>
              <w:ind w:left="0" w:firstLine="0"/>
              <w:jc w:val="left"/>
            </w:pPr>
            <w:r>
              <w:t xml:space="preserve">Rate </w:t>
            </w:r>
            <w:r>
              <w:tab/>
              <w:t xml:space="preserve">x </w:t>
            </w:r>
            <w:r>
              <w:tab/>
              <w:t xml:space="preserve">20 </w:t>
            </w:r>
          </w:p>
          <w:p w:rsidR="00BD4EC8" w:rsidRDefault="00EB767A">
            <w:pPr>
              <w:spacing w:after="0" w:line="259" w:lineRule="auto"/>
              <w:ind w:left="1" w:right="772" w:firstLine="0"/>
              <w:jc w:val="left"/>
            </w:pPr>
            <w:r>
              <w:t xml:space="preserve">quarters </w:t>
            </w:r>
            <w:r>
              <w:rPr>
                <w:b/>
              </w:rPr>
              <w:t>= Value F</w:t>
            </w:r>
          </w:p>
        </w:tc>
      </w:tr>
      <w:tr w:rsidR="00BD4EC8">
        <w:trPr>
          <w:trHeight w:val="1032"/>
        </w:trPr>
        <w:tc>
          <w:tcPr>
            <w:tcW w:w="636"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0" w:firstLine="0"/>
              <w:jc w:val="left"/>
            </w:pPr>
            <w:r>
              <w:t>7</w:t>
            </w:r>
          </w:p>
        </w:tc>
        <w:tc>
          <w:tcPr>
            <w:tcW w:w="3722"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 xml:space="preserve">Switching 24 Port </w:t>
            </w:r>
          </w:p>
        </w:tc>
        <w:tc>
          <w:tcPr>
            <w:tcW w:w="1107"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1250</w:t>
            </w:r>
          </w:p>
        </w:tc>
        <w:tc>
          <w:tcPr>
            <w:tcW w:w="1663" w:type="dxa"/>
            <w:tcBorders>
              <w:top w:val="single" w:sz="4" w:space="0" w:color="000000"/>
              <w:left w:val="single" w:sz="4" w:space="0" w:color="000000"/>
              <w:bottom w:val="single" w:sz="4" w:space="0" w:color="000000"/>
              <w:right w:val="single" w:sz="4" w:space="0" w:color="000000"/>
            </w:tcBorders>
          </w:tcPr>
          <w:p w:rsidR="00BD4EC8" w:rsidRDefault="00BD4EC8">
            <w:pPr>
              <w:spacing w:after="160" w:line="259" w:lineRule="auto"/>
              <w:ind w:left="0" w:firstLine="0"/>
              <w:jc w:val="left"/>
            </w:pPr>
          </w:p>
        </w:tc>
        <w:tc>
          <w:tcPr>
            <w:tcW w:w="1886" w:type="dxa"/>
            <w:tcBorders>
              <w:top w:val="single" w:sz="4" w:space="0" w:color="000000"/>
              <w:left w:val="single" w:sz="4" w:space="0" w:color="000000"/>
              <w:bottom w:val="single" w:sz="4" w:space="0" w:color="000000"/>
              <w:right w:val="single" w:sz="4" w:space="0" w:color="000000"/>
            </w:tcBorders>
          </w:tcPr>
          <w:p w:rsidR="00BD4EC8" w:rsidRDefault="00EB767A">
            <w:pPr>
              <w:spacing w:after="0" w:line="259" w:lineRule="auto"/>
              <w:ind w:left="1" w:firstLine="0"/>
              <w:jc w:val="left"/>
            </w:pPr>
            <w:r>
              <w:t xml:space="preserve">Quantity x Unit </w:t>
            </w:r>
          </w:p>
          <w:p w:rsidR="00BD4EC8" w:rsidRDefault="00EB767A">
            <w:pPr>
              <w:tabs>
                <w:tab w:val="center" w:pos="947"/>
                <w:tab w:val="right" w:pos="1738"/>
              </w:tabs>
              <w:spacing w:after="0" w:line="259" w:lineRule="auto"/>
              <w:ind w:left="0" w:firstLine="0"/>
              <w:jc w:val="left"/>
            </w:pPr>
            <w:r>
              <w:t xml:space="preserve">Rate </w:t>
            </w:r>
            <w:r>
              <w:tab/>
              <w:t xml:space="preserve">x </w:t>
            </w:r>
            <w:r>
              <w:tab/>
              <w:t xml:space="preserve">20 </w:t>
            </w:r>
          </w:p>
          <w:p w:rsidR="00BD4EC8" w:rsidRDefault="00EB767A">
            <w:pPr>
              <w:spacing w:after="0" w:line="259" w:lineRule="auto"/>
              <w:ind w:left="1" w:right="753" w:firstLine="0"/>
              <w:jc w:val="left"/>
            </w:pPr>
            <w:r>
              <w:lastRenderedPageBreak/>
              <w:t xml:space="preserve">quarters </w:t>
            </w:r>
            <w:r>
              <w:rPr>
                <w:b/>
              </w:rPr>
              <w:t>= Value G</w:t>
            </w:r>
          </w:p>
        </w:tc>
      </w:tr>
      <w:tr w:rsidR="00BD4EC8">
        <w:trPr>
          <w:trHeight w:val="1032"/>
        </w:trPr>
        <w:tc>
          <w:tcPr>
            <w:tcW w:w="636"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0" w:firstLine="0"/>
              <w:jc w:val="left"/>
            </w:pPr>
            <w:r>
              <w:lastRenderedPageBreak/>
              <w:t>8</w:t>
            </w:r>
          </w:p>
        </w:tc>
        <w:tc>
          <w:tcPr>
            <w:tcW w:w="3722"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 xml:space="preserve">Switching 48 Port </w:t>
            </w:r>
          </w:p>
        </w:tc>
        <w:tc>
          <w:tcPr>
            <w:tcW w:w="1107"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70</w:t>
            </w:r>
          </w:p>
        </w:tc>
        <w:tc>
          <w:tcPr>
            <w:tcW w:w="1663" w:type="dxa"/>
            <w:tcBorders>
              <w:top w:val="single" w:sz="4" w:space="0" w:color="000000"/>
              <w:left w:val="single" w:sz="4" w:space="0" w:color="000000"/>
              <w:bottom w:val="single" w:sz="4" w:space="0" w:color="000000"/>
              <w:right w:val="single" w:sz="4" w:space="0" w:color="000000"/>
            </w:tcBorders>
          </w:tcPr>
          <w:p w:rsidR="00BD4EC8" w:rsidRDefault="00BD4EC8">
            <w:pPr>
              <w:spacing w:after="160" w:line="259" w:lineRule="auto"/>
              <w:ind w:left="0" w:firstLine="0"/>
              <w:jc w:val="left"/>
            </w:pPr>
          </w:p>
        </w:tc>
        <w:tc>
          <w:tcPr>
            <w:tcW w:w="1886" w:type="dxa"/>
            <w:tcBorders>
              <w:top w:val="single" w:sz="4" w:space="0" w:color="000000"/>
              <w:left w:val="single" w:sz="4" w:space="0" w:color="000000"/>
              <w:bottom w:val="single" w:sz="4" w:space="0" w:color="000000"/>
              <w:right w:val="single" w:sz="4" w:space="0" w:color="000000"/>
            </w:tcBorders>
          </w:tcPr>
          <w:p w:rsidR="00BD4EC8" w:rsidRDefault="00EB767A">
            <w:pPr>
              <w:spacing w:after="0" w:line="259" w:lineRule="auto"/>
              <w:ind w:left="1" w:firstLine="0"/>
              <w:jc w:val="left"/>
            </w:pPr>
            <w:r>
              <w:t xml:space="preserve">Quantity x Unit </w:t>
            </w:r>
          </w:p>
          <w:p w:rsidR="00BD4EC8" w:rsidRDefault="00EB767A">
            <w:pPr>
              <w:tabs>
                <w:tab w:val="center" w:pos="947"/>
                <w:tab w:val="right" w:pos="1738"/>
              </w:tabs>
              <w:spacing w:after="0" w:line="259" w:lineRule="auto"/>
              <w:ind w:left="0" w:firstLine="0"/>
              <w:jc w:val="left"/>
            </w:pPr>
            <w:r>
              <w:t xml:space="preserve">Rate </w:t>
            </w:r>
            <w:r>
              <w:tab/>
              <w:t xml:space="preserve">x </w:t>
            </w:r>
            <w:r>
              <w:tab/>
              <w:t xml:space="preserve">20 </w:t>
            </w:r>
          </w:p>
          <w:p w:rsidR="00BD4EC8" w:rsidRDefault="00EB767A">
            <w:pPr>
              <w:spacing w:after="0" w:line="259" w:lineRule="auto"/>
              <w:ind w:left="1" w:right="750" w:firstLine="0"/>
              <w:jc w:val="left"/>
            </w:pPr>
            <w:r>
              <w:t xml:space="preserve">quarters </w:t>
            </w:r>
            <w:r>
              <w:rPr>
                <w:b/>
              </w:rPr>
              <w:t>= Value H</w:t>
            </w:r>
          </w:p>
        </w:tc>
      </w:tr>
      <w:tr w:rsidR="00BD4EC8">
        <w:trPr>
          <w:trHeight w:val="1032"/>
        </w:trPr>
        <w:tc>
          <w:tcPr>
            <w:tcW w:w="636"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0" w:firstLine="0"/>
              <w:jc w:val="left"/>
            </w:pPr>
            <w:r>
              <w:t>9</w:t>
            </w:r>
          </w:p>
        </w:tc>
        <w:tc>
          <w:tcPr>
            <w:tcW w:w="3722"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 xml:space="preserve">Switching 24 Port with </w:t>
            </w:r>
            <w:proofErr w:type="spellStart"/>
            <w:r>
              <w:t>PoE</w:t>
            </w:r>
            <w:proofErr w:type="spellEnd"/>
            <w:r>
              <w:t xml:space="preserve"> / </w:t>
            </w:r>
            <w:proofErr w:type="spellStart"/>
            <w:r>
              <w:t>PoE</w:t>
            </w:r>
            <w:proofErr w:type="spellEnd"/>
            <w:r>
              <w:t xml:space="preserve">+ </w:t>
            </w:r>
          </w:p>
          <w:p w:rsidR="00BD4EC8" w:rsidRDefault="00EB767A">
            <w:pPr>
              <w:spacing w:after="0" w:line="259" w:lineRule="auto"/>
              <w:ind w:left="1" w:firstLine="0"/>
              <w:jc w:val="left"/>
            </w:pPr>
            <w:r>
              <w:t xml:space="preserve">Ports  </w:t>
            </w:r>
          </w:p>
        </w:tc>
        <w:tc>
          <w:tcPr>
            <w:tcW w:w="1107"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20</w:t>
            </w:r>
          </w:p>
        </w:tc>
        <w:tc>
          <w:tcPr>
            <w:tcW w:w="1663" w:type="dxa"/>
            <w:tcBorders>
              <w:top w:val="single" w:sz="4" w:space="0" w:color="000000"/>
              <w:left w:val="single" w:sz="4" w:space="0" w:color="000000"/>
              <w:bottom w:val="single" w:sz="4" w:space="0" w:color="000000"/>
              <w:right w:val="single" w:sz="4" w:space="0" w:color="000000"/>
            </w:tcBorders>
          </w:tcPr>
          <w:p w:rsidR="00BD4EC8" w:rsidRDefault="00BD4EC8">
            <w:pPr>
              <w:spacing w:after="160" w:line="259" w:lineRule="auto"/>
              <w:ind w:left="0" w:firstLine="0"/>
              <w:jc w:val="left"/>
            </w:pPr>
          </w:p>
        </w:tc>
        <w:tc>
          <w:tcPr>
            <w:tcW w:w="1886" w:type="dxa"/>
            <w:tcBorders>
              <w:top w:val="single" w:sz="4" w:space="0" w:color="000000"/>
              <w:left w:val="single" w:sz="4" w:space="0" w:color="000000"/>
              <w:bottom w:val="single" w:sz="4" w:space="0" w:color="000000"/>
              <w:right w:val="single" w:sz="4" w:space="0" w:color="000000"/>
            </w:tcBorders>
          </w:tcPr>
          <w:p w:rsidR="00BD4EC8" w:rsidRDefault="00EB767A">
            <w:pPr>
              <w:spacing w:after="0" w:line="259" w:lineRule="auto"/>
              <w:ind w:left="1" w:firstLine="0"/>
              <w:jc w:val="left"/>
            </w:pPr>
            <w:r>
              <w:t xml:space="preserve">Quantity x Unit </w:t>
            </w:r>
          </w:p>
          <w:p w:rsidR="00BD4EC8" w:rsidRDefault="00EB767A">
            <w:pPr>
              <w:tabs>
                <w:tab w:val="center" w:pos="947"/>
                <w:tab w:val="right" w:pos="1738"/>
              </w:tabs>
              <w:spacing w:after="0" w:line="259" w:lineRule="auto"/>
              <w:ind w:left="0" w:firstLine="0"/>
              <w:jc w:val="left"/>
            </w:pPr>
            <w:r>
              <w:t xml:space="preserve">Rate </w:t>
            </w:r>
            <w:r>
              <w:tab/>
              <w:t xml:space="preserve">x </w:t>
            </w:r>
            <w:r>
              <w:tab/>
              <w:t xml:space="preserve">20 </w:t>
            </w:r>
          </w:p>
          <w:p w:rsidR="00BD4EC8" w:rsidRDefault="00EB767A">
            <w:pPr>
              <w:spacing w:after="0" w:line="259" w:lineRule="auto"/>
              <w:ind w:left="1" w:right="783" w:firstLine="0"/>
              <w:jc w:val="left"/>
            </w:pPr>
            <w:r>
              <w:t xml:space="preserve">quarters </w:t>
            </w:r>
            <w:r>
              <w:rPr>
                <w:b/>
              </w:rPr>
              <w:t>= Value I</w:t>
            </w:r>
          </w:p>
        </w:tc>
      </w:tr>
      <w:tr w:rsidR="00BD4EC8">
        <w:trPr>
          <w:trHeight w:val="1033"/>
        </w:trPr>
        <w:tc>
          <w:tcPr>
            <w:tcW w:w="636"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0" w:firstLine="0"/>
              <w:jc w:val="left"/>
            </w:pPr>
            <w:r>
              <w:t>10</w:t>
            </w:r>
          </w:p>
        </w:tc>
        <w:tc>
          <w:tcPr>
            <w:tcW w:w="3722"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 xml:space="preserve">Switching 48 Port with </w:t>
            </w:r>
            <w:proofErr w:type="spellStart"/>
            <w:r>
              <w:t>PoE</w:t>
            </w:r>
            <w:proofErr w:type="spellEnd"/>
            <w:r>
              <w:t xml:space="preserve"> / </w:t>
            </w:r>
            <w:proofErr w:type="spellStart"/>
            <w:r>
              <w:t>PoE</w:t>
            </w:r>
            <w:proofErr w:type="spellEnd"/>
            <w:r>
              <w:t xml:space="preserve">+ </w:t>
            </w:r>
          </w:p>
          <w:p w:rsidR="00BD4EC8" w:rsidRDefault="00EB767A">
            <w:pPr>
              <w:spacing w:after="0" w:line="259" w:lineRule="auto"/>
              <w:ind w:left="1" w:firstLine="0"/>
              <w:jc w:val="left"/>
            </w:pPr>
            <w:r>
              <w:t xml:space="preserve">Ports  </w:t>
            </w:r>
          </w:p>
        </w:tc>
        <w:tc>
          <w:tcPr>
            <w:tcW w:w="1107"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10</w:t>
            </w:r>
          </w:p>
        </w:tc>
        <w:tc>
          <w:tcPr>
            <w:tcW w:w="1663" w:type="dxa"/>
            <w:tcBorders>
              <w:top w:val="single" w:sz="4" w:space="0" w:color="000000"/>
              <w:left w:val="single" w:sz="4" w:space="0" w:color="000000"/>
              <w:bottom w:val="single" w:sz="4" w:space="0" w:color="000000"/>
              <w:right w:val="single" w:sz="4" w:space="0" w:color="000000"/>
            </w:tcBorders>
          </w:tcPr>
          <w:p w:rsidR="00BD4EC8" w:rsidRDefault="00BD4EC8">
            <w:pPr>
              <w:spacing w:after="160" w:line="259" w:lineRule="auto"/>
              <w:ind w:left="0" w:firstLine="0"/>
              <w:jc w:val="left"/>
            </w:pPr>
          </w:p>
        </w:tc>
        <w:tc>
          <w:tcPr>
            <w:tcW w:w="1886" w:type="dxa"/>
            <w:tcBorders>
              <w:top w:val="single" w:sz="4" w:space="0" w:color="000000"/>
              <w:left w:val="single" w:sz="4" w:space="0" w:color="000000"/>
              <w:bottom w:val="single" w:sz="4" w:space="0" w:color="000000"/>
              <w:right w:val="single" w:sz="4" w:space="0" w:color="000000"/>
            </w:tcBorders>
          </w:tcPr>
          <w:p w:rsidR="00BD4EC8" w:rsidRDefault="00EB767A">
            <w:pPr>
              <w:spacing w:after="0" w:line="259" w:lineRule="auto"/>
              <w:ind w:left="1" w:firstLine="0"/>
              <w:jc w:val="left"/>
            </w:pPr>
            <w:r>
              <w:t xml:space="preserve">Quantity x Unit </w:t>
            </w:r>
          </w:p>
          <w:p w:rsidR="00BD4EC8" w:rsidRDefault="00EB767A">
            <w:pPr>
              <w:tabs>
                <w:tab w:val="center" w:pos="947"/>
                <w:tab w:val="right" w:pos="1738"/>
              </w:tabs>
              <w:spacing w:after="0" w:line="259" w:lineRule="auto"/>
              <w:ind w:left="0" w:firstLine="0"/>
              <w:jc w:val="left"/>
            </w:pPr>
            <w:r>
              <w:t xml:space="preserve">Rate </w:t>
            </w:r>
            <w:r>
              <w:tab/>
              <w:t xml:space="preserve">x </w:t>
            </w:r>
            <w:r>
              <w:tab/>
              <w:t xml:space="preserve">20 </w:t>
            </w:r>
          </w:p>
          <w:p w:rsidR="00BD4EC8" w:rsidRDefault="00EB767A">
            <w:pPr>
              <w:spacing w:after="0" w:line="259" w:lineRule="auto"/>
              <w:ind w:left="1" w:right="783" w:firstLine="0"/>
              <w:jc w:val="left"/>
            </w:pPr>
            <w:r>
              <w:t xml:space="preserve">quarters </w:t>
            </w:r>
            <w:r>
              <w:rPr>
                <w:b/>
              </w:rPr>
              <w:t>= Value J</w:t>
            </w:r>
          </w:p>
        </w:tc>
      </w:tr>
      <w:tr w:rsidR="00BD4EC8">
        <w:trPr>
          <w:trHeight w:val="553"/>
        </w:trPr>
        <w:tc>
          <w:tcPr>
            <w:tcW w:w="9014" w:type="dxa"/>
            <w:gridSpan w:val="5"/>
            <w:tcBorders>
              <w:top w:val="single" w:sz="4" w:space="0" w:color="000000"/>
              <w:left w:val="single" w:sz="4" w:space="0" w:color="000000"/>
              <w:bottom w:val="single" w:sz="4" w:space="0" w:color="000000"/>
              <w:right w:val="single" w:sz="4" w:space="0" w:color="000000"/>
            </w:tcBorders>
            <w:shd w:val="clear" w:color="auto" w:fill="FEF2CC"/>
            <w:vAlign w:val="center"/>
          </w:tcPr>
          <w:p w:rsidR="00BD4EC8" w:rsidRDefault="00EB767A">
            <w:pPr>
              <w:spacing w:after="0" w:line="259" w:lineRule="auto"/>
              <w:ind w:left="0" w:firstLine="0"/>
              <w:jc w:val="left"/>
            </w:pPr>
            <w:r>
              <w:rPr>
                <w:b/>
              </w:rPr>
              <w:t>NOC Support</w:t>
            </w:r>
          </w:p>
        </w:tc>
      </w:tr>
      <w:tr w:rsidR="00BD4EC8">
        <w:trPr>
          <w:trHeight w:val="779"/>
        </w:trPr>
        <w:tc>
          <w:tcPr>
            <w:tcW w:w="636"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0" w:firstLine="0"/>
              <w:jc w:val="left"/>
            </w:pPr>
            <w:r>
              <w:t>11</w:t>
            </w:r>
          </w:p>
        </w:tc>
        <w:tc>
          <w:tcPr>
            <w:tcW w:w="3722" w:type="dxa"/>
            <w:tcBorders>
              <w:top w:val="single" w:sz="4" w:space="0" w:color="000000"/>
              <w:left w:val="single" w:sz="4" w:space="0" w:color="000000"/>
              <w:bottom w:val="single" w:sz="4" w:space="0" w:color="000000"/>
              <w:right w:val="single" w:sz="4" w:space="0" w:color="000000"/>
            </w:tcBorders>
          </w:tcPr>
          <w:p w:rsidR="00BD4EC8" w:rsidRDefault="00EB767A">
            <w:pPr>
              <w:spacing w:after="0" w:line="259" w:lineRule="auto"/>
              <w:ind w:left="1" w:right="66" w:firstLine="0"/>
            </w:pPr>
            <w:r>
              <w:t xml:space="preserve">End to End NOC Services Cost per Quarter for all the services/devices defined in the scope of RFP.  </w:t>
            </w:r>
          </w:p>
        </w:tc>
        <w:tc>
          <w:tcPr>
            <w:tcW w:w="1107" w:type="dxa"/>
            <w:tcBorders>
              <w:top w:val="single" w:sz="4" w:space="0" w:color="000000"/>
              <w:left w:val="single" w:sz="4" w:space="0" w:color="000000"/>
              <w:bottom w:val="single" w:sz="4" w:space="0" w:color="000000"/>
              <w:right w:val="single" w:sz="4" w:space="0" w:color="000000"/>
            </w:tcBorders>
            <w:vAlign w:val="center"/>
          </w:tcPr>
          <w:p w:rsidR="00BD4EC8" w:rsidRDefault="00EB767A">
            <w:pPr>
              <w:spacing w:after="0" w:line="259" w:lineRule="auto"/>
              <w:ind w:left="1" w:firstLine="0"/>
              <w:jc w:val="left"/>
            </w:pPr>
            <w:r>
              <w:t>-</w:t>
            </w:r>
          </w:p>
        </w:tc>
        <w:tc>
          <w:tcPr>
            <w:tcW w:w="1663" w:type="dxa"/>
            <w:tcBorders>
              <w:top w:val="single" w:sz="4" w:space="0" w:color="000000"/>
              <w:left w:val="single" w:sz="4" w:space="0" w:color="000000"/>
              <w:bottom w:val="single" w:sz="4" w:space="0" w:color="000000"/>
              <w:right w:val="single" w:sz="4" w:space="0" w:color="000000"/>
            </w:tcBorders>
          </w:tcPr>
          <w:p w:rsidR="00BD4EC8" w:rsidRDefault="00BD4EC8">
            <w:pPr>
              <w:spacing w:after="160" w:line="259" w:lineRule="auto"/>
              <w:ind w:left="0" w:firstLine="0"/>
              <w:jc w:val="left"/>
            </w:pPr>
            <w:bookmarkStart w:id="0" w:name="_GoBack"/>
            <w:bookmarkEnd w:id="0"/>
          </w:p>
        </w:tc>
        <w:tc>
          <w:tcPr>
            <w:tcW w:w="1886" w:type="dxa"/>
            <w:tcBorders>
              <w:top w:val="single" w:sz="4" w:space="0" w:color="000000"/>
              <w:left w:val="single" w:sz="4" w:space="0" w:color="000000"/>
              <w:bottom w:val="single" w:sz="4" w:space="0" w:color="000000"/>
              <w:right w:val="single" w:sz="4" w:space="0" w:color="000000"/>
            </w:tcBorders>
          </w:tcPr>
          <w:p w:rsidR="00EB767A" w:rsidRDefault="00EB767A" w:rsidP="00EB767A">
            <w:pPr>
              <w:spacing w:after="0" w:line="259" w:lineRule="auto"/>
              <w:ind w:left="1" w:firstLine="0"/>
              <w:jc w:val="left"/>
            </w:pPr>
            <w:r>
              <w:t xml:space="preserve">Unit </w:t>
            </w:r>
          </w:p>
          <w:p w:rsidR="00EB767A" w:rsidRDefault="00EB767A" w:rsidP="00EB767A">
            <w:pPr>
              <w:tabs>
                <w:tab w:val="center" w:pos="947"/>
                <w:tab w:val="right" w:pos="1738"/>
              </w:tabs>
              <w:spacing w:after="0" w:line="259" w:lineRule="auto"/>
              <w:ind w:left="0" w:firstLine="0"/>
              <w:jc w:val="left"/>
            </w:pPr>
            <w:r>
              <w:t xml:space="preserve">Rate </w:t>
            </w:r>
            <w:r>
              <w:tab/>
              <w:t xml:space="preserve">x </w:t>
            </w:r>
            <w:r>
              <w:tab/>
              <w:t xml:space="preserve">20 </w:t>
            </w:r>
          </w:p>
          <w:p w:rsidR="00BD4EC8" w:rsidRDefault="00EB767A" w:rsidP="00EB767A">
            <w:pPr>
              <w:spacing w:after="0" w:line="259" w:lineRule="auto"/>
              <w:ind w:left="1" w:firstLine="0"/>
              <w:jc w:val="left"/>
            </w:pPr>
            <w:r>
              <w:t xml:space="preserve">quarters </w:t>
            </w:r>
            <w:r>
              <w:rPr>
                <w:b/>
              </w:rPr>
              <w:t>= Value K</w:t>
            </w:r>
          </w:p>
        </w:tc>
      </w:tr>
      <w:tr w:rsidR="00BD4EC8">
        <w:trPr>
          <w:trHeight w:val="775"/>
        </w:trPr>
        <w:tc>
          <w:tcPr>
            <w:tcW w:w="435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BD4EC8" w:rsidRDefault="00EB767A">
            <w:pPr>
              <w:spacing w:after="0" w:line="259" w:lineRule="auto"/>
              <w:ind w:left="0" w:firstLine="0"/>
              <w:jc w:val="left"/>
            </w:pPr>
            <w:r>
              <w:rPr>
                <w:b/>
              </w:rPr>
              <w:t xml:space="preserve">Total Cost of Ownership (in INR) </w:t>
            </w:r>
          </w:p>
        </w:tc>
        <w:tc>
          <w:tcPr>
            <w:tcW w:w="4656" w:type="dxa"/>
            <w:gridSpan w:val="3"/>
            <w:tcBorders>
              <w:top w:val="single" w:sz="4" w:space="0" w:color="000000"/>
              <w:left w:val="single" w:sz="4" w:space="0" w:color="000000"/>
              <w:bottom w:val="single" w:sz="4" w:space="0" w:color="000000"/>
              <w:right w:val="single" w:sz="4" w:space="0" w:color="000000"/>
            </w:tcBorders>
            <w:shd w:val="clear" w:color="auto" w:fill="F2F2F2"/>
          </w:tcPr>
          <w:p w:rsidR="00BD4EC8" w:rsidRDefault="00EB767A">
            <w:pPr>
              <w:spacing w:after="0" w:line="259" w:lineRule="auto"/>
              <w:ind w:left="1" w:firstLine="0"/>
              <w:jc w:val="left"/>
            </w:pPr>
            <w:r>
              <w:rPr>
                <w:b/>
              </w:rPr>
              <w:t xml:space="preserve">Value A + Value B + Value C + Value D + </w:t>
            </w:r>
          </w:p>
          <w:p w:rsidR="00BD4EC8" w:rsidRDefault="00EB767A">
            <w:pPr>
              <w:spacing w:after="0" w:line="259" w:lineRule="auto"/>
              <w:ind w:left="1" w:firstLine="0"/>
              <w:jc w:val="left"/>
            </w:pPr>
            <w:r>
              <w:rPr>
                <w:b/>
              </w:rPr>
              <w:t xml:space="preserve">Value E + Value F + Value G + Value H + </w:t>
            </w:r>
          </w:p>
          <w:p w:rsidR="00BD4EC8" w:rsidRDefault="00EB767A">
            <w:pPr>
              <w:spacing w:after="0" w:line="259" w:lineRule="auto"/>
              <w:ind w:left="1" w:firstLine="0"/>
              <w:jc w:val="left"/>
            </w:pPr>
            <w:r>
              <w:rPr>
                <w:b/>
              </w:rPr>
              <w:t>Value I + Value J + Value K</w:t>
            </w:r>
          </w:p>
        </w:tc>
      </w:tr>
      <w:tr w:rsidR="00BD4EC8">
        <w:trPr>
          <w:trHeight w:val="360"/>
        </w:trPr>
        <w:tc>
          <w:tcPr>
            <w:tcW w:w="9014" w:type="dxa"/>
            <w:gridSpan w:val="5"/>
            <w:tcBorders>
              <w:top w:val="single" w:sz="4" w:space="0" w:color="000000"/>
              <w:left w:val="single" w:sz="4" w:space="0" w:color="000000"/>
              <w:bottom w:val="single" w:sz="4" w:space="0" w:color="000000"/>
              <w:right w:val="single" w:sz="4" w:space="0" w:color="000000"/>
            </w:tcBorders>
            <w:shd w:val="clear" w:color="auto" w:fill="F2F2F2"/>
          </w:tcPr>
          <w:p w:rsidR="00BD4EC8" w:rsidRDefault="00EB767A">
            <w:pPr>
              <w:spacing w:after="0" w:line="259" w:lineRule="auto"/>
              <w:ind w:left="0" w:firstLine="0"/>
              <w:jc w:val="left"/>
            </w:pPr>
            <w:r>
              <w:rPr>
                <w:b/>
              </w:rPr>
              <w:t xml:space="preserve">Total Cost in words: </w:t>
            </w:r>
            <w:r>
              <w:t>Rupees ___________________________________ only</w:t>
            </w:r>
          </w:p>
        </w:tc>
      </w:tr>
    </w:tbl>
    <w:p w:rsidR="00BD4EC8" w:rsidRDefault="00EB767A">
      <w:pPr>
        <w:spacing w:after="322"/>
        <w:ind w:left="-5"/>
      </w:pPr>
      <w:r>
        <w:t xml:space="preserve">Commercial proposal for Network Operations </w:t>
      </w:r>
      <w:proofErr w:type="spellStart"/>
      <w:r>
        <w:t>Center</w:t>
      </w:r>
      <w:proofErr w:type="spellEnd"/>
      <w:r>
        <w:t xml:space="preserve"> (NOC) Services must encompass all associated costs for the Network Performance Monitoring and Diagnostics (NPMD) solution.</w:t>
      </w:r>
      <w:r>
        <w:rPr>
          <w:b/>
        </w:rPr>
        <w:t xml:space="preserve"> </w:t>
      </w:r>
      <w:r>
        <w:t>The cost of NOC Support services must be minimum 35% of the total contract value; a</w:t>
      </w:r>
      <w:r>
        <w:t>ny deviation will result in automatic disqualification of the bidder. The quoted unit rate shall remain fixed for all future additions and will not be revised.</w:t>
      </w:r>
    </w:p>
    <w:p w:rsidR="00BD4EC8" w:rsidRDefault="00EB767A">
      <w:pPr>
        <w:spacing w:after="384"/>
        <w:ind w:left="-5"/>
      </w:pPr>
      <w:r>
        <w:t>The quantity mentioned above is indicative only and the actual number may change based on assess</w:t>
      </w:r>
      <w:r>
        <w:t>ment of business requirements of the Bank. Bank may increase or decrease the quantity of sites mentioned in the Commercial bid during the contract period on the rates finalized under this RFP.</w:t>
      </w:r>
    </w:p>
    <w:p w:rsidR="00BD4EC8" w:rsidRDefault="00EB767A">
      <w:pPr>
        <w:spacing w:after="88"/>
        <w:ind w:left="-5"/>
      </w:pPr>
      <w:r>
        <w:t>In case of any additional requirement for procurement of new de</w:t>
      </w:r>
      <w:r>
        <w:t xml:space="preserve">vices during the contract period, the bank reserves the right to order additional new devices under the same commercial and contractual terms and conditions as defined in the original agreement. </w:t>
      </w:r>
    </w:p>
    <w:p w:rsidR="00BD4EC8" w:rsidRDefault="00EB767A">
      <w:pPr>
        <w:ind w:left="-5"/>
      </w:pPr>
      <w:r>
        <w:t>The selected bidder is expected to follow the below conditions for all subsequent orders unless otherwise mutually agreed in writing by the Bank:</w:t>
      </w:r>
    </w:p>
    <w:p w:rsidR="00BD4EC8" w:rsidRDefault="00EB767A">
      <w:pPr>
        <w:spacing w:after="444"/>
        <w:ind w:left="1080" w:hanging="360"/>
      </w:pPr>
      <w:r>
        <w:t>(</w:t>
      </w:r>
      <w:proofErr w:type="spellStart"/>
      <w:r>
        <w:t>i</w:t>
      </w:r>
      <w:proofErr w:type="spellEnd"/>
      <w:r>
        <w:t>) The contract duration for all additional device orders shall be coterminous with the end date of the origi</w:t>
      </w:r>
      <w:r>
        <w:t>nal agreement, irrespective of the date of procurement of the individual order.</w:t>
      </w:r>
    </w:p>
    <w:p w:rsidR="00BD4EC8" w:rsidRDefault="00EB767A">
      <w:pPr>
        <w:spacing w:after="179"/>
        <w:ind w:left="-5"/>
      </w:pPr>
      <w:r>
        <w:lastRenderedPageBreak/>
        <w:t>The Total Cost shall include, but not be limited to:</w:t>
      </w:r>
    </w:p>
    <w:p w:rsidR="00BD4EC8" w:rsidRDefault="00EB767A">
      <w:pPr>
        <w:numPr>
          <w:ilvl w:val="0"/>
          <w:numId w:val="1"/>
        </w:numPr>
        <w:ind w:hanging="360"/>
      </w:pPr>
      <w:r>
        <w:t>Supply of products with all required features, licenses, and subscriptions for a 5-year period, inclusive of freight, handl</w:t>
      </w:r>
      <w:r>
        <w:t xml:space="preserve">ing/packing charges, transit insurance, regular/onsite insurance, and on-site maintenance during the contract period. </w:t>
      </w:r>
    </w:p>
    <w:p w:rsidR="00BD4EC8" w:rsidRDefault="00EB767A">
      <w:pPr>
        <w:numPr>
          <w:ilvl w:val="0"/>
          <w:numId w:val="1"/>
        </w:numPr>
        <w:ind w:hanging="360"/>
      </w:pPr>
      <w:r>
        <w:t>Installation and implementation, including efforts from both the OEM and the System Integrator (SI).</w:t>
      </w:r>
    </w:p>
    <w:p w:rsidR="00BD4EC8" w:rsidRDefault="00EB767A">
      <w:pPr>
        <w:numPr>
          <w:ilvl w:val="0"/>
          <w:numId w:val="1"/>
        </w:numPr>
        <w:ind w:hanging="360"/>
      </w:pPr>
      <w:r>
        <w:t>Operations &amp; Management (O&amp;M) servic</w:t>
      </w:r>
      <w:r>
        <w:t>es for a 5-year period.</w:t>
      </w:r>
    </w:p>
    <w:p w:rsidR="00BD4EC8" w:rsidRDefault="00EB767A">
      <w:pPr>
        <w:numPr>
          <w:ilvl w:val="0"/>
          <w:numId w:val="1"/>
        </w:numPr>
        <w:ind w:hanging="360"/>
      </w:pPr>
      <w:r>
        <w:t>Any other associated costs necessary to meet the Scope of Work (</w:t>
      </w:r>
      <w:proofErr w:type="spellStart"/>
      <w:r>
        <w:t>SoW</w:t>
      </w:r>
      <w:proofErr w:type="spellEnd"/>
      <w:r>
        <w:t>) and Service Level Agreements (SLA) outlined in this RFP.</w:t>
      </w:r>
    </w:p>
    <w:p w:rsidR="00BD4EC8" w:rsidRDefault="00EB767A">
      <w:pPr>
        <w:numPr>
          <w:ilvl w:val="0"/>
          <w:numId w:val="1"/>
        </w:numPr>
        <w:ind w:hanging="360"/>
      </w:pPr>
      <w:r>
        <w:t>No additional costs shall be entertained beyond those quoted in the final commercial bid, and the Vendor s</w:t>
      </w:r>
      <w:r>
        <w:t>hall ensure that all cost components are included without any omissions.</w:t>
      </w:r>
    </w:p>
    <w:p w:rsidR="00BD4EC8" w:rsidRDefault="00EB767A">
      <w:pPr>
        <w:numPr>
          <w:ilvl w:val="0"/>
          <w:numId w:val="1"/>
        </w:numPr>
        <w:ind w:hanging="360"/>
      </w:pPr>
      <w:r>
        <w:t xml:space="preserve">No counter condition/assumption in response to commercial bid will be accepted. </w:t>
      </w:r>
    </w:p>
    <w:p w:rsidR="00BD4EC8" w:rsidRDefault="00EB767A">
      <w:pPr>
        <w:ind w:left="730"/>
      </w:pPr>
      <w:r>
        <w:t>Bank has a right to reject such bid.</w:t>
      </w:r>
    </w:p>
    <w:p w:rsidR="00BD4EC8" w:rsidRDefault="00EB767A">
      <w:pPr>
        <w:spacing w:after="128"/>
        <w:ind w:left="-5"/>
      </w:pPr>
      <w:r>
        <w:t xml:space="preserve">Please be guided by RFP terms, subsequent amendments and replies </w:t>
      </w:r>
      <w:r>
        <w:t>to pre-bid queries (if any) while quoting. Unit Rate of all items and TCO must be quoted in WORDS AND FIGURES. In case of any discrepancy, the price quoted in words will be considered for computation of TCO.</w:t>
      </w:r>
    </w:p>
    <w:p w:rsidR="00BD4EC8" w:rsidRDefault="00EB767A">
      <w:pPr>
        <w:spacing w:after="150"/>
        <w:ind w:left="-5"/>
      </w:pPr>
      <w:r>
        <w:t>The Total Project Cost shall be paid in quarterl</w:t>
      </w:r>
      <w:r>
        <w:t xml:space="preserve">y rests as per the OPEX model. The Bank reserves the right to increase or decrease the number of sites, resources, or other line items mentioned in the commercial bid during the contract period, based on the rates finalized under this RFP. </w:t>
      </w:r>
    </w:p>
    <w:p w:rsidR="00BD4EC8" w:rsidRDefault="00EB767A">
      <w:pPr>
        <w:spacing w:after="168"/>
        <w:ind w:left="-5"/>
      </w:pPr>
      <w:r>
        <w:t>Note: These det</w:t>
      </w:r>
      <w:r>
        <w:t xml:space="preserve">ails should be on the letterhead of the bidder company and each &amp; every page should be signed by their Authorized Signatory with name and seal of the company. </w:t>
      </w:r>
    </w:p>
    <w:p w:rsidR="00BD4EC8" w:rsidRDefault="00EB767A">
      <w:pPr>
        <w:spacing w:after="167"/>
        <w:ind w:left="-5"/>
      </w:pPr>
      <w:r>
        <w:t>Place:</w:t>
      </w:r>
    </w:p>
    <w:p w:rsidR="00BD4EC8" w:rsidRDefault="00EB767A">
      <w:pPr>
        <w:spacing w:after="167"/>
        <w:ind w:left="-5"/>
      </w:pPr>
      <w:r>
        <w:t>Date:</w:t>
      </w:r>
    </w:p>
    <w:p w:rsidR="00BD4EC8" w:rsidRDefault="00EB767A">
      <w:pPr>
        <w:ind w:left="-5"/>
      </w:pPr>
      <w:r>
        <w:t>Seal and signature of the bidder</w:t>
      </w:r>
    </w:p>
    <w:sectPr w:rsidR="00BD4EC8">
      <w:pgSz w:w="11906" w:h="16838"/>
      <w:pgMar w:top="1445" w:right="1439" w:bottom="1767"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962249"/>
    <w:multiLevelType w:val="hybridMultilevel"/>
    <w:tmpl w:val="F0B04E60"/>
    <w:lvl w:ilvl="0" w:tplc="482640D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E6117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F1225A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49EE7F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4FC30B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3AF93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01212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0ABAF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32924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lassificationTagSetId" w:val="e16409a7-1700-4153-9090-3955bc2f0ae8"/>
    <w:docVar w:name="ComplianceTagSetId" w:val="f14fc1f1-8950-40d5-8a29-45909da947d6"/>
    <w:docVar w:name="FileId" w:val="40901dd4-9871-4287-8156-40417ebaaa58"/>
    <w:docVar w:name="GVData" w:val="eyJPUyI6IldpbmRvd3MiLCJkb2NJRCI6IjQwOTAxZGQ0LTk4NzEtNDI4Ny04MTU2LTQwNDE3ZWJhYWE1OCIsImRvY1N0YXRlIjoie30iLCJwYXJlbnRMaW5lSWRzIjoiW10iLCJ3cml0dGVuS2V5cyI6IltcIk1TSVBfTGFiZWxfOWFjNGIyYmMtZWJkOS00ZGQ3LWFj"/>
    <w:docVar w:name="GVData0" w:val="ZTUtZWExY2VhMGU3ZWRlX0VuYWJsZWRcIixcIk1TSVBfTGFiZWxfZWE2MGQ1N2UtYWY1Yi00NzUyLWFjNTctM2U0ZjI4Y2ExMWRjX0VuYWJsZWRcIixcIk1TSVBfTGFiZWxfZTc3MzNlMzMtMWQwZi00ZDg5LThmM2ItZTE2YzVhNTI1ZjIxX0VuYWJsZWRcIixcImd2"/>
    <w:docVar w:name="GVData1" w:val="ZG9jaWRcIixcIkNsYXNzaWZpY2F0aW9uVGFnU2V0SWRcIixcIkNvbXBsaWFuY2VUYWdTZXRJZFwiLFwiRmlsZUlkXCIsXCJVc2VySWRcIixcIlRhZ0RhdGVUaW1lXCJdIiwibm9PZkd2RGF0YUVudHJpZXMiOiI2IiwibGluZUlkIjoiZGYzYTQ2ZDMtMjk5My00MWNj"/>
    <w:docVar w:name="GVData2" w:val="LWE1NzItM2M2M2VkZGUyNDIyIn0="/>
    <w:docVar w:name="GVData3" w:val="(end)"/>
    <w:docVar w:name="gvdocid" w:val="40901dd4-9871-4287-8156-40417ebaaa58"/>
    <w:docVar w:name="MSIP_Label_9ac4b2bc-ebd9-4dd7-ace5-ea1cea0e7ede_Enabled" w:val="false"/>
    <w:docVar w:name="MSIP_Label_e7733e33-1d0f-4d89-8f3b-e16c5a525f21_Enabled" w:val="false"/>
    <w:docVar w:name="MSIP_Label_ea60d57e-af5b-4752-ac57-3e4f28ca11dc_Enabled" w:val="false"/>
    <w:docVar w:name="TagDateTime" w:val="2025-09-11T09:54:35Z"/>
    <w:docVar w:name="UserId" w:val="Suhaib Rasool - 015146"/>
  </w:docVars>
  <w:rsids>
    <w:rsidRoot w:val="00BD4EC8"/>
    <w:rsid w:val="00BD4EC8"/>
    <w:rsid w:val="00EB767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69B801-224E-416A-A70F-6DAD3AC1D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5" w:line="249" w:lineRule="auto"/>
      <w:ind w:left="10" w:hanging="10"/>
      <w:jc w:val="both"/>
    </w:pPr>
    <w:rPr>
      <w:rFonts w:ascii="Trebuchet MS" w:eastAsia="Trebuchet MS" w:hAnsi="Trebuchet MS" w:cs="Trebuchet MS"/>
      <w:color w:val="000000"/>
    </w:rPr>
  </w:style>
  <w:style w:type="paragraph" w:styleId="Heading1">
    <w:name w:val="heading 1"/>
    <w:next w:val="Normal"/>
    <w:link w:val="Heading1Char"/>
    <w:uiPriority w:val="9"/>
    <w:unhideWhenUsed/>
    <w:qFormat/>
    <w:pPr>
      <w:keepNext/>
      <w:keepLines/>
      <w:spacing w:after="0"/>
      <w:outlineLvl w:val="0"/>
    </w:pPr>
    <w:rPr>
      <w:rFonts w:ascii="Trebuchet MS" w:eastAsia="Trebuchet MS" w:hAnsi="Trebuchet MS" w:cs="Trebuchet MS"/>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rebuchet MS" w:eastAsia="Trebuchet MS" w:hAnsi="Trebuchet MS" w:cs="Trebuchet MS"/>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885</Words>
  <Characters>4117</Characters>
  <Application>Microsoft Office Word</Application>
  <DocSecurity>0</DocSecurity>
  <Lines>187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Adil Ayub</dc:creator>
  <cp:keywords/>
  <cp:lastModifiedBy>Suhaib Rasool</cp:lastModifiedBy>
  <cp:revision>2</cp:revision>
  <dcterms:created xsi:type="dcterms:W3CDTF">2025-09-11T09:59:00Z</dcterms:created>
  <dcterms:modified xsi:type="dcterms:W3CDTF">2025-09-11T09:59:00Z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vdocid">
    <vt:lpwstr>40901dd4-9871-4287-8156-40417ebaaa58</vt:lpwstr>
  </property>
  <property fmtid="{D5CDD505-2E9C-101B-9397-08002B2CF9AE}" pid="3" name="ClassificationTagSetId">
    <vt:lpwstr>e16409a7-1700-4153-9090-3955bc2f0ae8</vt:lpwstr>
  </property>
  <property fmtid="{D5CDD505-2E9C-101B-9397-08002B2CF9AE}" pid="4" name="ComplianceTagSetId">
    <vt:lpwstr>f14fc1f1-8950-40d5-8a29-45909da947d6</vt:lpwstr>
  </property>
  <property fmtid="{D5CDD505-2E9C-101B-9397-08002B2CF9AE}" pid="5" name="FileId">
    <vt:lpwstr>40901dd4-9871-4287-8156-40417ebaaa58</vt:lpwstr>
  </property>
  <property fmtid="{D5CDD505-2E9C-101B-9397-08002B2CF9AE}" pid="6" name="UserId">
    <vt:lpwstr>Suhaib Rasool - 015146</vt:lpwstr>
  </property>
  <property fmtid="{D5CDD505-2E9C-101B-9397-08002B2CF9AE}" pid="7" name="TagDateTime">
    <vt:lpwstr>2025-09-11T09:54:35Z</vt:lpwstr>
  </property>
  <property fmtid="{D5CDD505-2E9C-101B-9397-08002B2CF9AE}" pid="8" name="MSIP_Label_9ac4b2bc-ebd9-4dd7-ace5-ea1cea0e7ede_Enabled">
    <vt:lpwstr>false</vt:lpwstr>
  </property>
  <property fmtid="{D5CDD505-2E9C-101B-9397-08002B2CF9AE}" pid="9" name="MSIP_Label_ea60d57e-af5b-4752-ac57-3e4f28ca11dc_Enabled">
    <vt:lpwstr>false</vt:lpwstr>
  </property>
  <property fmtid="{D5CDD505-2E9C-101B-9397-08002B2CF9AE}" pid="10" name="MSIP_Label_e7733e33-1d0f-4d89-8f3b-e16c5a525f21_Enabled">
    <vt:lpwstr>false</vt:lpwstr>
  </property>
  <property fmtid="{D5CDD505-2E9C-101B-9397-08002B2CF9AE}" pid="11" name="GVData">
    <vt:lpwstr>eyJPUyI6IldpbmRvd3MiLCJkb2NJRCI6IjQwOTAxZGQ0LTk4NzEtNDI4Ny04MTU2LTQwNDE3ZWJhYWE1OCIsImRvY1N0YXRlIjoie30iLCJwYXJlbnRMaW5lSWRzIjoiW10iLCJ3cml0dGVuS2V5cyI6IltcIk1TSVBfTGFiZWxfOWFjNGIyYmMtZWJkOS00ZGQ3LWFj</vt:lpwstr>
  </property>
  <property fmtid="{D5CDD505-2E9C-101B-9397-08002B2CF9AE}" pid="12" name="GVData0">
    <vt:lpwstr>ZTUtZWExY2VhMGU3ZWRlX0VuYWJsZWRcIixcIk1TSVBfTGFiZWxfZWE2MGQ1N2UtYWY1Yi00NzUyLWFjNTctM2U0ZjI4Y2ExMWRjX0VuYWJsZWRcIixcIk1TSVBfTGFiZWxfZTc3MzNlMzMtMWQwZi00ZDg5LThmM2ItZTE2YzVhNTI1ZjIxX0VuYWJsZWRcIixcImd2</vt:lpwstr>
  </property>
  <property fmtid="{D5CDD505-2E9C-101B-9397-08002B2CF9AE}" pid="13" name="GVData1">
    <vt:lpwstr>ZG9jaWRcIixcIkNsYXNzaWZpY2F0aW9uVGFnU2V0SWRcIixcIkNvbXBsaWFuY2VUYWdTZXRJZFwiLFwiRmlsZUlkXCIsXCJVc2VySWRcIixcIlRhZ0RhdGVUaW1lXCJdIiwibm9PZkd2RGF0YUVudHJpZXMiOiI2IiwibGluZUlkIjoiZGYzYTQ2ZDMtMjk5My00MWNj</vt:lpwstr>
  </property>
  <property fmtid="{D5CDD505-2E9C-101B-9397-08002B2CF9AE}" pid="14" name="GVData2">
    <vt:lpwstr>LWE1NzItM2M2M2VkZGUyNDIyIn0=</vt:lpwstr>
  </property>
  <property fmtid="{D5CDD505-2E9C-101B-9397-08002B2CF9AE}" pid="15" name="GVData3">
    <vt:lpwstr>(end)</vt:lpwstr>
  </property>
</Properties>
</file>